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69278" cy="720513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48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2"/>
        <w:keepNext w:val="1"/>
        <w:keepLines w:val="1"/>
        <w:spacing w:after="120" w:before="360" w:line="276" w:lineRule="auto"/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jthd0e7d7wyl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UCL Education Innovation and Edupreneurship Society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 Innovation and Edupreneurship Society (EIE)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ind w:left="576" w:hanging="57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is elected in the Leadership Race in Term 2 or any other democratic method in other periods of time.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shall steer the long-term strategic direction of the society.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shall approve all major decisions. “Major” is defined as affecting the operations of multiple divisions or influencing the perception of the society as a whole from multiple external stakeholders.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has the final decision on the removal of temporary personnel on additional committee positions outlined in 3.4, however, this should only be done in consultation with other members.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President should frequently revise and edit internal strategic and external business plans, and is responsible for leading the documentation of organisational learning.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With a majority agreement of the Treasurer and Officer positions, the President has the option to appoint a Vice-President, who shall undertake operations management and undertake internal decision-making if needed.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D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Treasurer is elected in the Leadership Race in Term 2 or any other democratic method in other periods of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is responsible for overlooking the financial function of the society, and the second in command if a Vice-President is not appointed. He/she will be the third-in-command if a Vice-President role is appointed. </w:t>
      </w:r>
    </w:p>
    <w:p w:rsidR="00000000" w:rsidDel="00000000" w:rsidP="00000000" w:rsidRDefault="00000000" w:rsidRPr="00000000" w14:paraId="00000020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shall create a budget plan for the society for all upcoming terms</w:t>
      </w:r>
    </w:p>
    <w:p w:rsidR="00000000" w:rsidDel="00000000" w:rsidP="00000000" w:rsidRDefault="00000000" w:rsidRPr="00000000" w14:paraId="00000021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shall allocate funds to the core and additional activities.</w:t>
      </w:r>
    </w:p>
    <w:p w:rsidR="00000000" w:rsidDel="00000000" w:rsidP="00000000" w:rsidRDefault="00000000" w:rsidRPr="00000000" w14:paraId="00000022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should overlook the financial statement of the society.</w:t>
      </w:r>
    </w:p>
    <w:p w:rsidR="00000000" w:rsidDel="00000000" w:rsidP="00000000" w:rsidRDefault="00000000" w:rsidRPr="00000000" w14:paraId="00000023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should track budget responsibility.</w:t>
      </w:r>
    </w:p>
    <w:p w:rsidR="00000000" w:rsidDel="00000000" w:rsidP="00000000" w:rsidRDefault="00000000" w:rsidRPr="00000000" w14:paraId="00000024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should manage sponsorships and financial partnerships.</w:t>
      </w:r>
    </w:p>
    <w:p w:rsidR="00000000" w:rsidDel="00000000" w:rsidP="00000000" w:rsidRDefault="00000000" w:rsidRPr="00000000" w14:paraId="00000025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 shall work closely with the Event Officer to finalise termly budget plans before the term starts. </w:t>
      </w:r>
    </w:p>
    <w:p w:rsidR="00000000" w:rsidDel="00000000" w:rsidP="00000000" w:rsidRDefault="00000000" w:rsidRPr="00000000" w14:paraId="00000026">
      <w:pPr>
        <w:pStyle w:val="Heading4"/>
        <w:numPr>
          <w:ilvl w:val="0"/>
          <w:numId w:val="1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 Treasurer</w:t>
      </w: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 has the option to appoint an Accountant to help him or her to undertake budgeting and more detailed bookkeeping tasks, with the agreement of the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ind w:left="0" w:firstLine="0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ind w:left="576" w:hanging="576"/>
        <w:rPr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276" w:lineRule="auto"/>
        <w:ind w:left="720"/>
        <w:rPr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Welfare Officer is elected in the Leadership Race in Term 2 or any other democratic method in other periods of time.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276" w:lineRule="auto"/>
        <w:ind w:left="720"/>
        <w:rPr>
          <w:rFonts w:ascii="Arial" w:cs="Arial" w:eastAsia="Arial" w:hAnsi="Arial"/>
          <w:color w:val="2aaa9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aaa9e"/>
          <w:sz w:val="22"/>
          <w:szCs w:val="22"/>
          <w:rtl w:val="0"/>
        </w:rPr>
        <w:t xml:space="preserve">The Welfare Officer must take on another position outlined in 3.6 after a successful election to office. This is to be negotiated with the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ind w:left="576" w:hanging="576"/>
        <w:rPr/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Additional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numPr>
          <w:ilvl w:val="1"/>
          <w:numId w:val="2"/>
        </w:numPr>
        <w:ind w:left="576" w:hanging="576"/>
        <w:rPr>
          <w:color w:val="2aaa9e"/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The committee structure should be kept </w:t>
      </w:r>
      <w:r w:rsidDel="00000000" w:rsidR="00000000" w:rsidRPr="00000000">
        <w:rPr>
          <w:rFonts w:ascii="FreightSans Pro Bold" w:cs="FreightSans Pro Bold" w:eastAsia="FreightSans Pro Bold" w:hAnsi="FreightSans Pro Bold"/>
          <w:b w:val="1"/>
          <w:color w:val="2aaa9e"/>
          <w:sz w:val="22"/>
          <w:szCs w:val="22"/>
          <w:rtl w:val="0"/>
        </w:rPr>
        <w:t xml:space="preserve">flexible</w:t>
      </w: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 to adapt to needs and circumstances in a new start-up society, and temporary roles should be appointed by the leadership team to aid the running and scaling of the society for the Academic Years 21-22 and 22-23.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31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32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33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kick-start the journey of aspiring education innovators and entrepreneurs through creativity, people and knowledge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Arial" w:cs="Arial" w:eastAsia="Arial" w:hAnsi="Arial"/>
          <w:color w:val="0e101a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connect and unite passionate individuals with incumbent professionals, academics and/or existing education innovation and entrepreneurship communities.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Arial" w:cs="Arial" w:eastAsia="Arial" w:hAnsi="Arial"/>
          <w:color w:val="0e101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educate members in the fields of educational technology (EdTech), learning design and other applied innovations in education such as new curriculum and assessment methodology.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Arial" w:cs="Arial" w:eastAsia="Arial" w:hAnsi="Arial"/>
          <w:color w:val="0e101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e101a"/>
          <w:sz w:val="22"/>
          <w:szCs w:val="22"/>
          <w:rtl w:val="0"/>
        </w:rPr>
        <w:t xml:space="preserve">educate members on basic business and entrepreneurship principles.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3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Themed Workshops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Workshops surrounding educational and general business and entrepreneurship skills.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Workshops surrounding EdTech and learning design implementation. 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Workshops on other applied education innovations (e.g. curriculum development)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This can be led either by the society or by an academic/industry professional.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Themed Guest Speaker Events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Inviting EdTech and education entrepreneurs and/or education business professionals as guest speakers. 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This can be done in the format of a solo speaker, an interactive Q&amp;A session and/or a panel.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Education Hackathons and Themed-Competitions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A culminating, one-day event where teams engage and compete in solving a real-life problem in education innovation or EdTech using knowledge gained from other events. Members will work closely in groups to generate a solution and pitch their ideas. The winning team receives a prize. 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Lunch and refreshments are provided.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Socials and Networking Events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Regular, low-pressure gatherings with food and drinks for students to build a tight-knit community.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ind w:left="0" w:firstLine="0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EdTech incubators, and virtual/augmented reality education lab visits.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Company tours.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Online events with educational businesses. 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Options are limitless as activities are planned based members’ suggestions and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4"/>
        <w:ind w:left="0" w:firstLine="0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a two-thirds majority of the full members present at a club/society general meeting. The Activities Executive shall approve any such alterations. </w:t>
      </w:r>
    </w:p>
    <w:p w:rsidR="00000000" w:rsidDel="00000000" w:rsidP="00000000" w:rsidRDefault="00000000" w:rsidRPr="00000000" w14:paraId="00000052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 Innovation and Edupreneurship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abided by the Students’ Union UCL Club and Society Regulations.</w:t>
      </w:r>
    </w:p>
    <w:p w:rsidR="00000000" w:rsidDel="00000000" w:rsidP="00000000" w:rsidRDefault="00000000" w:rsidRPr="00000000" w14:paraId="00000053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2"/>
        <w:tblGridChange w:id="0">
          <w:tblGrid>
            <w:gridCol w:w="2972"/>
            <w:gridCol w:w="66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Yuqing Yang (Frank)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YYQ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 2nd, 2023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Shu Ham Chan (Anson)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CSH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 2nd 2023</w:t>
            </w:r>
          </w:p>
        </w:tc>
      </w:tr>
    </w:tbl>
    <w:p w:rsidR="00000000" w:rsidDel="00000000" w:rsidP="00000000" w:rsidRDefault="00000000" w:rsidRPr="00000000" w14:paraId="00000060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40" w:w="11900" w:orient="portrait"/>
      <w:pgMar w:bottom="1701" w:top="99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rnd" cmpd="sng" w="12700">
                        <a:solidFill>
                          <a:srgbClr val="0822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  <w:aliases w:val="Union Standard"/>
    <w:next w:val="Title"/>
    <w:qFormat w:val="1"/>
    <w:rsid w:val="004F215B"/>
    <w:rPr>
      <w:rFonts w:ascii="FreightSans Pro Book" w:cs="Arial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16779F"/>
    <w:pPr>
      <w:keepNext w:val="1"/>
      <w:spacing w:after="60" w:before="240"/>
      <w:outlineLvl w:val="0"/>
    </w:pPr>
    <w:rPr>
      <w:rFonts w:ascii="FreightSans Pro Bold" w:hAnsi="FreightSans Pro Bold"/>
      <w:b w:val="1"/>
      <w:bCs w:val="1"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 w:val="1"/>
    <w:rsid w:val="0016779F"/>
    <w:pPr>
      <w:spacing w:after="100" w:afterAutospacing="1" w:before="100" w:beforeAutospacing="1"/>
      <w:outlineLvl w:val="1"/>
    </w:pPr>
    <w:rPr>
      <w:rFonts w:cs="Times New Roman"/>
      <w:bCs w:val="1"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16779F"/>
    <w:pPr>
      <w:numPr>
        <w:numId w:val="26"/>
      </w:numPr>
      <w:outlineLvl w:val="2"/>
    </w:pPr>
    <w:rPr>
      <w:rFonts w:ascii="FreightSans Pro Bold" w:hAnsi="FreightSans Pro Bold"/>
      <w:b w:val="1"/>
      <w:bCs w:val="1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 w:val="1"/>
    <w:qFormat w:val="1"/>
    <w:rsid w:val="004F215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061932" w:themeColor="accent1" w:themeShade="0000BF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4F215B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041021" w:themeColor="accent1" w:themeShade="00007F"/>
    </w:rPr>
  </w:style>
  <w:style w:type="paragraph" w:styleId="Heading7">
    <w:name w:val="heading 7"/>
    <w:basedOn w:val="Normal"/>
    <w:next w:val="Normal"/>
    <w:link w:val="Heading7Char"/>
    <w:unhideWhenUsed w:val="1"/>
    <w:qFormat w:val="1"/>
    <w:rsid w:val="004F215B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41021" w:themeColor="accent1" w:themeShade="00007F"/>
    </w:rPr>
  </w:style>
  <w:style w:type="paragraph" w:styleId="Heading8">
    <w:name w:val="heading 8"/>
    <w:basedOn w:val="Normal"/>
    <w:next w:val="Normal"/>
    <w:link w:val="Heading8Char"/>
    <w:unhideWhenUsed w:val="1"/>
    <w:qFormat w:val="1"/>
    <w:rsid w:val="004F215B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rsid w:val="00A26578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color="f7a28c" w:space="0" w:sz="2" w:themeColor="accent2" w:themeTint="000099" w:val="single"/>
        <w:bottom w:color="f7a28c" w:space="0" w:sz="2" w:themeColor="accent2" w:themeTint="000099" w:val="single"/>
        <w:insideH w:color="f7a28c" w:space="0" w:sz="2" w:themeColor="accent2" w:themeTint="000099" w:val="single"/>
        <w:insideV w:color="f7a28c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7a28c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7a28c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color="f7a28c" w:space="0" w:sz="4" w:themeColor="accent2" w:themeTint="000099" w:val="single"/>
        <w:left w:color="f7a28c" w:space="0" w:sz="4" w:themeColor="accent2" w:themeTint="000099" w:val="single"/>
        <w:bottom w:color="f7a28c" w:space="0" w:sz="4" w:themeColor="accent2" w:themeTint="000099" w:val="single"/>
        <w:right w:color="f7a28c" w:space="0" w:sz="4" w:themeColor="accent2" w:themeTint="000099" w:val="single"/>
        <w:insideH w:color="f7a28c" w:space="0" w:sz="4" w:themeColor="accent2" w:themeTint="000099" w:val="single"/>
        <w:insideV w:color="f7a28c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26641" w:space="0" w:sz="4" w:themeColor="accent2" w:val="single"/>
          <w:left w:color="f26641" w:space="0" w:sz="4" w:themeColor="accent2" w:val="single"/>
          <w:bottom w:color="f26641" w:space="0" w:sz="4" w:themeColor="accent2" w:val="single"/>
          <w:right w:color="f26641" w:space="0" w:sz="4" w:themeColor="accent2" w:val="single"/>
          <w:insideH w:space="0" w:sz="0" w:val="nil"/>
          <w:insideV w:space="0" w:sz="0" w:val="nil"/>
        </w:tcBorders>
        <w:shd w:color="auto" w:fill="f26641" w:themeFill="accent2" w:val="clear"/>
      </w:tcPr>
    </w:tblStylePr>
    <w:tblStylePr w:type="lastRow">
      <w:rPr>
        <w:b w:val="1"/>
        <w:bCs w:val="1"/>
      </w:rPr>
      <w:tblPr/>
      <w:tcPr>
        <w:tcBorders>
          <w:top w:color="f2664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9541D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16779F"/>
    <w:rPr>
      <w:rFonts w:ascii="FreightSans Pro Bold" w:cs="Arial" w:hAnsi="FreightSans Pro Bold"/>
      <w:b w:val="1"/>
      <w:bCs w:val="1"/>
      <w:color w:val="f26641"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16779F"/>
    <w:rPr>
      <w:rFonts w:ascii="FreightSans Pro Book" w:hAnsi="FreightSans Pro Book"/>
      <w:bCs w:val="1"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 w:val="1"/>
    <w:rsid w:val="009541D5"/>
    <w:rPr>
      <w:b w:val="1"/>
      <w:bCs w:val="1"/>
    </w:rPr>
  </w:style>
  <w:style w:type="character" w:styleId="Emphasis">
    <w:name w:val="Emphasis"/>
    <w:uiPriority w:val="20"/>
    <w:qFormat w:val="1"/>
    <w:rsid w:val="009541D5"/>
    <w:rPr>
      <w:i w:val="1"/>
      <w:iCs w:val="1"/>
    </w:rPr>
  </w:style>
  <w:style w:type="table" w:styleId="TableGrid1" w:customStyle="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1B2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1B21"/>
    <w:rPr>
      <w:rFonts w:ascii="Segoe UI" w:cs="Segoe UI" w:hAnsi="Segoe UI"/>
      <w:sz w:val="18"/>
      <w:szCs w:val="18"/>
    </w:rPr>
  </w:style>
  <w:style w:type="paragraph" w:styleId="p1" w:customStyle="1">
    <w:name w:val="p1"/>
    <w:basedOn w:val="Normal"/>
    <w:rsid w:val="00D2375B"/>
    <w:pPr>
      <w:spacing w:line="180" w:lineRule="atLeast"/>
      <w:ind w:left="170" w:hanging="170"/>
    </w:pPr>
    <w:rPr>
      <w:rFonts w:ascii="FreightSans Pro" w:cs="Times New Roman" w:hAnsi="FreightSans Pro"/>
      <w:sz w:val="21"/>
      <w:szCs w:val="21"/>
      <w:lang w:eastAsia="en-GB"/>
    </w:rPr>
  </w:style>
  <w:style w:type="character" w:styleId="apple-converted-space" w:customStyle="1">
    <w:name w:val="apple-converted-space"/>
    <w:basedOn w:val="DefaultParagraphFont"/>
    <w:rsid w:val="006205E7"/>
  </w:style>
  <w:style w:type="paragraph" w:styleId="Style1" w:customStyle="1">
    <w:name w:val="Style1"/>
    <w:basedOn w:val="Normal"/>
    <w:qFormat w:val="1"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 w:val="1"/>
    <w:rsid w:val="004F215B"/>
    <w:pPr>
      <w:contextualSpacing w:val="1"/>
    </w:pPr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F215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 w:val="1"/>
    <w:rsid w:val="004F215B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4F215B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 w:val="1"/>
    <w:rsid w:val="004F215B"/>
    <w:rPr>
      <w:i w:val="1"/>
      <w:iCs w:val="1"/>
      <w:color w:val="404040" w:themeColor="text1" w:themeTint="0000BF"/>
    </w:rPr>
  </w:style>
  <w:style w:type="character" w:styleId="Heading3Char" w:customStyle="1">
    <w:name w:val="Heading 3 Char"/>
    <w:basedOn w:val="DefaultParagraphFont"/>
    <w:link w:val="Heading3"/>
    <w:rsid w:val="0016779F"/>
    <w:rPr>
      <w:rFonts w:ascii="FreightSans Pro Bold" w:cs="Arial" w:hAnsi="FreightSans Pro Bold"/>
      <w:b w:val="1"/>
      <w:bCs w:val="1"/>
      <w:color w:val="000000" w:themeColor="text1"/>
      <w:sz w:val="26"/>
      <w:szCs w:val="24"/>
    </w:rPr>
  </w:style>
  <w:style w:type="character" w:styleId="Heading4Char" w:customStyle="1">
    <w:name w:val="Heading 4 Char"/>
    <w:basedOn w:val="DefaultParagraphFont"/>
    <w:link w:val="Heading4"/>
    <w:rsid w:val="0016779F"/>
    <w:rPr>
      <w:rFonts w:ascii="FreightSans Pro Book" w:cs="Arial" w:hAnsi="FreightSans Pro Book"/>
      <w:color w:val="000000" w:themeColor="text1"/>
      <w:sz w:val="26"/>
      <w:szCs w:val="24"/>
    </w:rPr>
  </w:style>
  <w:style w:type="character" w:styleId="Heading5Char" w:customStyle="1">
    <w:name w:val="Heading 5 Char"/>
    <w:basedOn w:val="DefaultParagraphFont"/>
    <w:link w:val="Heading5"/>
    <w:rsid w:val="004F215B"/>
    <w:rPr>
      <w:rFonts w:asciiTheme="majorHAnsi" w:cstheme="majorBidi" w:eastAsiaTheme="majorEastAsia" w:hAnsiTheme="majorHAnsi"/>
      <w:color w:val="061932" w:themeColor="accent1" w:themeShade="0000BF"/>
      <w:sz w:val="26"/>
      <w:szCs w:val="24"/>
    </w:rPr>
  </w:style>
  <w:style w:type="character" w:styleId="Heading6Char" w:customStyle="1">
    <w:name w:val="Heading 6 Char"/>
    <w:basedOn w:val="DefaultParagraphFont"/>
    <w:link w:val="Heading6"/>
    <w:rsid w:val="004F215B"/>
    <w:rPr>
      <w:rFonts w:asciiTheme="majorHAnsi" w:cstheme="majorBidi" w:eastAsiaTheme="majorEastAsia" w:hAnsiTheme="majorHAnsi"/>
      <w:color w:val="041021" w:themeColor="accent1" w:themeShade="00007F"/>
      <w:sz w:val="26"/>
      <w:szCs w:val="24"/>
    </w:rPr>
  </w:style>
  <w:style w:type="character" w:styleId="Heading7Char" w:customStyle="1">
    <w:name w:val="Heading 7 Char"/>
    <w:basedOn w:val="DefaultParagraphFont"/>
    <w:link w:val="Heading7"/>
    <w:rsid w:val="004F215B"/>
    <w:rPr>
      <w:rFonts w:asciiTheme="majorHAnsi" w:cstheme="majorBidi" w:eastAsiaTheme="majorEastAsia" w:hAnsiTheme="majorHAnsi"/>
      <w:i w:val="1"/>
      <w:iCs w:val="1"/>
      <w:color w:val="041021" w:themeColor="accent1" w:themeShade="00007F"/>
      <w:sz w:val="26"/>
      <w:szCs w:val="24"/>
    </w:rPr>
  </w:style>
  <w:style w:type="character" w:styleId="Heading8Char" w:customStyle="1">
    <w:name w:val="Heading 8 Char"/>
    <w:basedOn w:val="DefaultParagraphFont"/>
    <w:link w:val="Heading8"/>
    <w:rsid w:val="004F215B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yperlink">
    <w:name w:val="Hyperlink"/>
    <w:basedOn w:val="DefaultParagraphFont"/>
    <w:uiPriority w:val="99"/>
    <w:unhideWhenUsed w:val="1"/>
    <w:rsid w:val="0016779F"/>
    <w:rPr>
      <w:color w:val="f26641" w:themeColor="hyperlink"/>
      <w:u w:val="single"/>
    </w:rPr>
  </w:style>
  <w:style w:type="character" w:styleId="Heading9Char" w:customStyle="1">
    <w:name w:val="Heading 9 Char"/>
    <w:basedOn w:val="DefaultParagraphFont"/>
    <w:link w:val="Heading9"/>
    <w:semiHidden w:val="1"/>
    <w:rsid w:val="00A2657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entsunionucl.org/how-to-guides" TargetMode="External"/><Relationship Id="rId10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footer" Target="footer1.xml"/><Relationship Id="rId12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governing-documen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1uXqWp5MIs0fLupoGBO7+bERmw==">AMUW2mWB4Vuz0DSaTttJla6e/CsT/sh11bn5KcTFAJnnBQ4KvdRUrNwDcDAD7IVApSpX2jvWZIzsUjxtvYcj7x0ExiM4NDLh7IUdspo1AM2OInVWydueg4ksJSe5+sNmq48Ex678T9DC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2022-06-10T14:35:00Z</dcterms:created>
  <dc:creator>Thomas Flynn</dc:creator>
</cp:coreProperties>
</file>