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5B4D" w14:textId="77777777" w:rsidR="000B54E4" w:rsidRDefault="00EA53D6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25BFA638" wp14:editId="4458740E">
            <wp:extent cx="1769278" cy="720513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CE85EB" w14:textId="77777777" w:rsidR="000B54E4" w:rsidRDefault="00EA53D6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3FF46642" w14:textId="77777777" w:rsidR="000B54E4" w:rsidRDefault="00EA53D6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  <w:r>
        <w:rPr>
          <w:color w:val="000000"/>
        </w:rPr>
        <w:t>Psychology and Education Society (PES)</w:t>
      </w:r>
    </w:p>
    <w:p w14:paraId="1E03BC4F" w14:textId="77777777" w:rsidR="000B54E4" w:rsidRDefault="00EA53D6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105BDD5F" w14:textId="77777777" w:rsidR="000B54E4" w:rsidRDefault="000B54E4">
      <w:pPr>
        <w:rPr>
          <w:sz w:val="22"/>
          <w:szCs w:val="22"/>
        </w:rPr>
      </w:pPr>
    </w:p>
    <w:p w14:paraId="2F48419B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color w:val="000000"/>
        </w:rPr>
        <w:t>Psychology and Education Society (PES)</w:t>
      </w:r>
      <w:r>
        <w:rPr>
          <w:color w:val="000000"/>
          <w:sz w:val="22"/>
          <w:szCs w:val="22"/>
        </w:rPr>
        <w:t>.</w:t>
      </w:r>
    </w:p>
    <w:p w14:paraId="0209A4B7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4700A5F2" w14:textId="77777777" w:rsidR="000B54E4" w:rsidRDefault="000B54E4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7EEB07DC" w14:textId="77777777" w:rsidR="000B54E4" w:rsidRDefault="00EA53D6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199976B0" w14:textId="77777777" w:rsidR="000B54E4" w:rsidRDefault="000B54E4">
      <w:pPr>
        <w:rPr>
          <w:sz w:val="22"/>
          <w:szCs w:val="22"/>
        </w:rPr>
      </w:pPr>
    </w:p>
    <w:p w14:paraId="2F6B09D7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2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38655705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</w:t>
      </w:r>
      <w:r>
        <w:rPr>
          <w:sz w:val="22"/>
          <w:szCs w:val="22"/>
        </w:rPr>
        <w:t>on UCL Equal Opportunities Policies, and that club/society regulations pertaining to membership of the club/society or election to the club/society shall not contravene this policy.</w:t>
      </w:r>
    </w:p>
    <w:p w14:paraId="22C83375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3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756AE4C5" w14:textId="77777777" w:rsidR="000B54E4" w:rsidRDefault="000B54E4">
      <w:pPr>
        <w:rPr>
          <w:sz w:val="22"/>
          <w:szCs w:val="22"/>
        </w:rPr>
      </w:pPr>
    </w:p>
    <w:p w14:paraId="20D74E88" w14:textId="77777777" w:rsidR="000B54E4" w:rsidRDefault="00EA53D6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7EEC7FB5" w14:textId="77777777" w:rsidR="000B54E4" w:rsidRDefault="000B54E4">
      <w:pPr>
        <w:pStyle w:val="Heading4"/>
        <w:ind w:left="576" w:hanging="576"/>
        <w:rPr>
          <w:color w:val="000000"/>
          <w:sz w:val="22"/>
          <w:szCs w:val="22"/>
        </w:rPr>
      </w:pPr>
    </w:p>
    <w:p w14:paraId="51EC4DD2" w14:textId="77777777" w:rsidR="000B54E4" w:rsidRDefault="00EA53D6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71724FEC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president’s primary role is </w:t>
      </w:r>
      <w:r>
        <w:rPr>
          <w:sz w:val="22"/>
          <w:szCs w:val="22"/>
        </w:rPr>
        <w:t>laid out in section 5.7 of the Club and Society Regulations.</w:t>
      </w:r>
    </w:p>
    <w:p w14:paraId="4970FA62" w14:textId="77777777" w:rsidR="000B54E4" w:rsidRDefault="000B54E4">
      <w:pPr>
        <w:rPr>
          <w:sz w:val="22"/>
          <w:szCs w:val="22"/>
        </w:rPr>
      </w:pPr>
    </w:p>
    <w:p w14:paraId="0E425FF1" w14:textId="77777777" w:rsidR="000B54E4" w:rsidRDefault="00EA53D6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236747F7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 w14:paraId="4C409709" w14:textId="77777777" w:rsidR="000B54E4" w:rsidRDefault="000B54E4">
      <w:pPr>
        <w:rPr>
          <w:sz w:val="22"/>
          <w:szCs w:val="22"/>
        </w:rPr>
      </w:pPr>
    </w:p>
    <w:p w14:paraId="64EF18F9" w14:textId="77777777" w:rsidR="000B54E4" w:rsidRDefault="00EA53D6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439DE717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welfare officer’s primary role is laid out in section 5.9 of the Club </w:t>
      </w:r>
      <w:r>
        <w:rPr>
          <w:sz w:val="22"/>
          <w:szCs w:val="22"/>
        </w:rPr>
        <w:t>and Society Regulations.</w:t>
      </w:r>
    </w:p>
    <w:p w14:paraId="1BB74702" w14:textId="77777777" w:rsidR="000B54E4" w:rsidRDefault="000B54E4">
      <w:pPr>
        <w:rPr>
          <w:sz w:val="22"/>
          <w:szCs w:val="22"/>
        </w:rPr>
      </w:pPr>
    </w:p>
    <w:p w14:paraId="612BCF8C" w14:textId="77777777" w:rsidR="000B54E4" w:rsidRDefault="00EA53D6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68C6140F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 w14:paraId="11FC7A5D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</w:t>
      </w:r>
      <w:r>
        <w:rPr>
          <w:sz w:val="22"/>
          <w:szCs w:val="22"/>
        </w:rPr>
        <w:t>es as described in section 5 of the Students’ Union UCL Club and Society Regulations.</w:t>
      </w:r>
    </w:p>
    <w:p w14:paraId="1DEEFF61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members are elected to represent the interests and well-being of club/society members and are accountable to their members. If club/society members are not sati</w:t>
      </w:r>
      <w:r>
        <w:rPr>
          <w:sz w:val="22"/>
          <w:szCs w:val="22"/>
        </w:rPr>
        <w:t xml:space="preserve">sfied by the performance of their representative </w:t>
      </w:r>
      <w:proofErr w:type="gramStart"/>
      <w:r>
        <w:rPr>
          <w:sz w:val="22"/>
          <w:szCs w:val="22"/>
        </w:rPr>
        <w:t>officers</w:t>
      </w:r>
      <w:proofErr w:type="gramEnd"/>
      <w:r>
        <w:rPr>
          <w:sz w:val="22"/>
          <w:szCs w:val="22"/>
        </w:rPr>
        <w:t xml:space="preserve"> they may call for a motion of no-confidence in line with the Students’ Union UCL Club and Society Regulations.</w:t>
      </w:r>
    </w:p>
    <w:p w14:paraId="74C7EB8D" w14:textId="77777777" w:rsidR="000B54E4" w:rsidRDefault="000B54E4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34A46CB8" w14:textId="77777777" w:rsidR="000B54E4" w:rsidRDefault="00EA53D6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lastRenderedPageBreak/>
        <w:t>Terms, Aims and Objectives</w:t>
      </w:r>
    </w:p>
    <w:p w14:paraId="22EBA949" w14:textId="77777777" w:rsidR="000B54E4" w:rsidRDefault="000B54E4">
      <w:pPr>
        <w:rPr>
          <w:sz w:val="22"/>
          <w:szCs w:val="22"/>
        </w:rPr>
      </w:pPr>
    </w:p>
    <w:p w14:paraId="45CA1236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hold the following as its aims and </w:t>
      </w:r>
      <w:r>
        <w:rPr>
          <w:sz w:val="22"/>
          <w:szCs w:val="22"/>
        </w:rPr>
        <w:t>objectives.</w:t>
      </w:r>
    </w:p>
    <w:p w14:paraId="74298066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strive to fulfil these aims and objectives </w:t>
      </w:r>
      <w:proofErr w:type="gramStart"/>
      <w:r>
        <w:rPr>
          <w:sz w:val="22"/>
          <w:szCs w:val="22"/>
        </w:rPr>
        <w:t>in the course of</w:t>
      </w:r>
      <w:proofErr w:type="gramEnd"/>
      <w:r>
        <w:rPr>
          <w:sz w:val="22"/>
          <w:szCs w:val="22"/>
        </w:rPr>
        <w:t xml:space="preserve"> the academic year as its commitment to its membership.</w:t>
      </w:r>
    </w:p>
    <w:p w14:paraId="772FC0A3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7DFE2984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>Social activities for bonding among students within deg</w:t>
      </w:r>
      <w:r>
        <w:rPr>
          <w:rFonts w:cs="FreightSans Pro Book"/>
          <w:color w:val="000000"/>
          <w:sz w:val="22"/>
          <w:szCs w:val="22"/>
        </w:rPr>
        <w:t>rees and across degrees in the department</w:t>
      </w:r>
    </w:p>
    <w:p w14:paraId="1A8BBA58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 xml:space="preserve">Talks or lectures on research in psychology and education </w:t>
      </w:r>
    </w:p>
    <w:p w14:paraId="7D789283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 xml:space="preserve">Career events and talks, particularly in collaboration with the British Psychological Society (BPS) </w:t>
      </w:r>
    </w:p>
    <w:p w14:paraId="1599B5E9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 xml:space="preserve">Staff and student discussions </w:t>
      </w:r>
    </w:p>
    <w:p w14:paraId="44E46B1C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FreightSans Pro Book"/>
          <w:color w:val="000000"/>
          <w:sz w:val="22"/>
          <w:szCs w:val="22"/>
        </w:rPr>
        <w:t>Conference on psychology and education</w:t>
      </w:r>
      <w:r>
        <w:rPr>
          <w:rFonts w:cs="FreightSans Pro Book"/>
          <w:color w:val="000000"/>
          <w:szCs w:val="26"/>
        </w:rPr>
        <w:t xml:space="preserve"> </w:t>
      </w:r>
    </w:p>
    <w:p w14:paraId="09EDE53F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addition, the club/society shall also strive to organise other activities for its</w:t>
      </w:r>
      <w:r>
        <w:rPr>
          <w:sz w:val="22"/>
          <w:szCs w:val="22"/>
        </w:rPr>
        <w:t xml:space="preserve"> members where possible: </w:t>
      </w:r>
    </w:p>
    <w:p w14:paraId="06804DB9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Study Social Events</w:t>
      </w:r>
    </w:p>
    <w:p w14:paraId="03326FA7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Per Term Social Events</w:t>
      </w:r>
    </w:p>
    <w:p w14:paraId="40F20B0C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Networking events with postgraduates/ industry professionals</w:t>
      </w:r>
    </w:p>
    <w:p w14:paraId="209E99BD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Off Campus Activities and Trips</w:t>
      </w:r>
    </w:p>
    <w:p w14:paraId="7F7CB1FC" w14:textId="77777777" w:rsidR="000B54E4" w:rsidRDefault="00EA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Collaborative Events with other Societies</w:t>
      </w:r>
    </w:p>
    <w:p w14:paraId="6DC517F1" w14:textId="77777777" w:rsidR="000B54E4" w:rsidRDefault="000B54E4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</w:p>
    <w:p w14:paraId="3D345B15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</w:t>
      </w:r>
      <w:proofErr w:type="gramStart"/>
      <w:r>
        <w:rPr>
          <w:sz w:val="22"/>
          <w:szCs w:val="22"/>
        </w:rPr>
        <w:t>officers, and</w:t>
      </w:r>
      <w:proofErr w:type="gramEnd"/>
      <w:r>
        <w:rPr>
          <w:sz w:val="22"/>
          <w:szCs w:val="22"/>
        </w:rPr>
        <w:t xml:space="preserve"> shall only be altered by consent of two-thirds majority of the full members present at a club/society general meeting. The Activities Executive shall approve any such alterations. </w:t>
      </w:r>
    </w:p>
    <w:p w14:paraId="1C970913" w14:textId="77777777" w:rsidR="000B54E4" w:rsidRDefault="00EA53D6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c</w:t>
      </w:r>
      <w:r>
        <w:rPr>
          <w:sz w:val="22"/>
          <w:szCs w:val="22"/>
        </w:rPr>
        <w:t xml:space="preserve">onstitution has been approved and accepted as the Constitution for the Students’ Union UCL </w:t>
      </w:r>
      <w:r>
        <w:rPr>
          <w:color w:val="F2663F"/>
          <w:sz w:val="22"/>
          <w:szCs w:val="22"/>
        </w:rPr>
        <w:t>Psychology and Education Society (PES).</w:t>
      </w:r>
      <w:r>
        <w:rPr>
          <w:color w:val="F2663F"/>
        </w:rPr>
        <w:t xml:space="preserve"> </w:t>
      </w:r>
      <w:r>
        <w:rPr>
          <w:sz w:val="22"/>
          <w:szCs w:val="22"/>
        </w:rPr>
        <w:t xml:space="preserve">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 and abide by the Students’ Union UCL C</w:t>
      </w:r>
      <w:r>
        <w:rPr>
          <w:sz w:val="22"/>
          <w:szCs w:val="22"/>
        </w:rPr>
        <w:t>lub and Society Regulations.</w:t>
      </w:r>
    </w:p>
    <w:p w14:paraId="6943EC93" w14:textId="77777777" w:rsidR="000B54E4" w:rsidRDefault="000B54E4">
      <w:pPr>
        <w:pStyle w:val="Heading4"/>
        <w:rPr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0B54E4" w14:paraId="2C3CD41A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DD7B8F6" w14:textId="77777777" w:rsidR="000B54E4" w:rsidRDefault="00EA5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7DFB559" w14:textId="77777777" w:rsidR="000B54E4" w:rsidRDefault="00EA53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Tszyau</w:t>
            </w:r>
            <w:proofErr w:type="spellEnd"/>
            <w:r>
              <w:rPr>
                <w:sz w:val="22"/>
                <w:szCs w:val="22"/>
              </w:rPr>
              <w:t xml:space="preserve"> Chiu</w:t>
            </w:r>
          </w:p>
        </w:tc>
      </w:tr>
      <w:tr w:rsidR="000B54E4" w14:paraId="2762C2CA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4A1A8D6" w14:textId="77777777" w:rsidR="000B54E4" w:rsidRDefault="00EA5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8D6E6D8" w14:textId="77777777" w:rsidR="000B54E4" w:rsidRDefault="00EA5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</w:t>
            </w:r>
          </w:p>
        </w:tc>
      </w:tr>
      <w:tr w:rsidR="000B54E4" w14:paraId="5223199D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2D77C74" w14:textId="77777777" w:rsidR="000B54E4" w:rsidRDefault="00EA5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FCE230A" w14:textId="44CE1807" w:rsidR="000B54E4" w:rsidRDefault="00AA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A53D6">
              <w:rPr>
                <w:sz w:val="22"/>
                <w:szCs w:val="22"/>
              </w:rPr>
              <w:t>/07/2022</w:t>
            </w:r>
          </w:p>
        </w:tc>
      </w:tr>
      <w:tr w:rsidR="000B54E4" w14:paraId="161AB898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79A73EE" w14:textId="77777777" w:rsidR="000B54E4" w:rsidRDefault="00EA5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B5E2768" w14:textId="77777777" w:rsidR="000B54E4" w:rsidRDefault="00EA53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Enkhzaya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Ganzorig</w:t>
            </w:r>
            <w:proofErr w:type="spellEnd"/>
          </w:p>
        </w:tc>
      </w:tr>
      <w:tr w:rsidR="000B54E4" w14:paraId="080F33B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A2863C8" w14:textId="77777777" w:rsidR="000B54E4" w:rsidRDefault="00EA5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A88AADA" w14:textId="0C5939DF" w:rsidR="000B54E4" w:rsidRDefault="00AA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</w:t>
            </w:r>
          </w:p>
        </w:tc>
      </w:tr>
      <w:tr w:rsidR="000B54E4" w14:paraId="137AD277" w14:textId="77777777">
        <w:trPr>
          <w:trHeight w:val="343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A3F574F" w14:textId="77777777" w:rsidR="000B54E4" w:rsidRDefault="00EA5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B054025" w14:textId="09C46375" w:rsidR="000B54E4" w:rsidRDefault="00AA3F17">
            <w:pPr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14/07/2022</w:t>
            </w:r>
          </w:p>
        </w:tc>
      </w:tr>
    </w:tbl>
    <w:p w14:paraId="69E8DEFE" w14:textId="77777777" w:rsidR="000B54E4" w:rsidRDefault="000B54E4">
      <w:pPr>
        <w:pStyle w:val="Heading4"/>
        <w:rPr>
          <w:sz w:val="22"/>
          <w:szCs w:val="22"/>
        </w:rPr>
      </w:pPr>
    </w:p>
    <w:sectPr w:rsidR="000B54E4">
      <w:footerReference w:type="default" r:id="rId14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5CAE" w14:textId="77777777" w:rsidR="00EA53D6" w:rsidRDefault="00EA53D6">
      <w:r>
        <w:separator/>
      </w:r>
    </w:p>
  </w:endnote>
  <w:endnote w:type="continuationSeparator" w:id="0">
    <w:p w14:paraId="375978C0" w14:textId="77777777" w:rsidR="00EA53D6" w:rsidRDefault="00EA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ightSans Pro Book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old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5610" w14:textId="77777777" w:rsidR="000B54E4" w:rsidRDefault="000B54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40C375DC" w14:textId="77777777" w:rsidR="000B54E4" w:rsidRDefault="000B54E4"/>
  <w:p w14:paraId="258D4ECB" w14:textId="77777777" w:rsidR="000B54E4" w:rsidRDefault="00EA53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68496AA" wp14:editId="4794BE57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6330B3" w14:textId="77777777" w:rsidR="000B54E4" w:rsidRDefault="00EA53D6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056ED7E" wp14:editId="11E1C51B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6FCB9" w14:textId="77777777" w:rsidR="000B54E4" w:rsidRDefault="00EA53D6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7369FB9A" w14:textId="77777777" w:rsidR="000B54E4" w:rsidRDefault="000B54E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53577B" wp14:editId="214FC5C7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532B" w14:textId="77777777" w:rsidR="00EA53D6" w:rsidRDefault="00EA53D6">
      <w:r>
        <w:separator/>
      </w:r>
    </w:p>
  </w:footnote>
  <w:footnote w:type="continuationSeparator" w:id="0">
    <w:p w14:paraId="65418A43" w14:textId="77777777" w:rsidR="00EA53D6" w:rsidRDefault="00EA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7EB"/>
    <w:multiLevelType w:val="multilevel"/>
    <w:tmpl w:val="29DE75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0F009A"/>
    <w:multiLevelType w:val="multilevel"/>
    <w:tmpl w:val="8B7ED5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1C25C6"/>
    <w:multiLevelType w:val="multilevel"/>
    <w:tmpl w:val="CDC2112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9260652">
    <w:abstractNumId w:val="0"/>
  </w:num>
  <w:num w:numId="2" w16cid:durableId="1015037592">
    <w:abstractNumId w:val="1"/>
  </w:num>
  <w:num w:numId="3" w16cid:durableId="1099448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E4"/>
    <w:rsid w:val="000B54E4"/>
    <w:rsid w:val="0093077D"/>
    <w:rsid w:val="00AA3F17"/>
    <w:rsid w:val="00BA0D21"/>
    <w:rsid w:val="00E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DF7DA"/>
  <w15:docId w15:val="{331B4164-43FB-C34D-9054-68CA91A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9F"/>
    <w:pPr>
      <w:numPr>
        <w:numId w:val="3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JIzu5OOT7vaiqsBydmQbAZXUg==">AMUW2mVOx83ShKgSycSdd3DlhNVAFiJrHavNWW99Q66Oh4z2dnGxbulcrKseNX4lWDuNhzfCy2n/33DPbKV5KSdYQEd6bv4KtzOyfEYn7m0eZTCKu4mV8QvGn5vYRphexdaMcu5N31hU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Chiu, Tszyau</cp:lastModifiedBy>
  <cp:revision>3</cp:revision>
  <dcterms:created xsi:type="dcterms:W3CDTF">2022-07-15T13:54:00Z</dcterms:created>
  <dcterms:modified xsi:type="dcterms:W3CDTF">2022-07-15T16:42:00Z</dcterms:modified>
</cp:coreProperties>
</file>