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color w:val="2aaa9e"/>
          <w:rtl w:val="0"/>
        </w:rPr>
        <w:t xml:space="preserve">ARGENTINE TANGO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Argentine Tango Society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</w:p>
    <w:p w:rsidR="00000000" w:rsidDel="00000000" w:rsidP="00000000" w:rsidRDefault="00000000" w:rsidRPr="00000000" w14:paraId="00000017">
      <w:pPr>
        <w:pStyle w:val="Heading4"/>
        <w:ind w:left="576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1F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20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25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26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27">
      <w:pPr>
        <w:pStyle w:val="Heading4"/>
        <w:ind w:left="576" w:firstLine="0"/>
        <w:rPr>
          <w:b w:val="1"/>
          <w:color w:val="2aaa9e"/>
          <w:sz w:val="22"/>
          <w:szCs w:val="22"/>
        </w:rPr>
      </w:pPr>
      <w:r w:rsidDel="00000000" w:rsidR="00000000" w:rsidRPr="00000000">
        <w:rPr>
          <w:b w:val="1"/>
          <w:color w:val="2aaa9e"/>
          <w:sz w:val="22"/>
          <w:szCs w:val="22"/>
          <w:rtl w:val="0"/>
        </w:rPr>
        <w:t xml:space="preserve">These are the activities that you will definitely carry out every academic year. The Union will only fund core activities. </w:t>
      </w:r>
    </w:p>
    <w:p w:rsidR="00000000" w:rsidDel="00000000" w:rsidP="00000000" w:rsidRDefault="00000000" w:rsidRPr="00000000" w14:paraId="00000028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Weekly argentine tango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Regular Practice sessions </w:t>
      </w:r>
    </w:p>
    <w:p w:rsidR="00000000" w:rsidDel="00000000" w:rsidP="00000000" w:rsidRDefault="00000000" w:rsidRPr="00000000" w14:paraId="0000002A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</w:p>
    <w:p w:rsidR="00000000" w:rsidDel="00000000" w:rsidP="00000000" w:rsidRDefault="00000000" w:rsidRPr="00000000" w14:paraId="0000002D">
      <w:pPr>
        <w:pStyle w:val="Heading4"/>
        <w:ind w:left="576" w:firstLine="0"/>
        <w:rPr>
          <w:b w:val="1"/>
          <w:color w:val="2aaa9e"/>
          <w:sz w:val="22"/>
          <w:szCs w:val="22"/>
        </w:rPr>
      </w:pPr>
      <w:r w:rsidDel="00000000" w:rsidR="00000000" w:rsidRPr="00000000">
        <w:rPr>
          <w:b w:val="1"/>
          <w:color w:val="2aaa9e"/>
          <w:sz w:val="22"/>
          <w:szCs w:val="22"/>
          <w:rtl w:val="0"/>
        </w:rPr>
        <w:t xml:space="preserve">These are the activities that you would like to carry out every academic year if you can. The Union will support these activities but not fund them. </w:t>
      </w:r>
    </w:p>
    <w:p w:rsidR="00000000" w:rsidDel="00000000" w:rsidP="00000000" w:rsidRDefault="00000000" w:rsidRPr="00000000" w14:paraId="0000002E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gig6us5c2fho" w:id="0"/>
      <w:bookmarkEnd w:id="0"/>
      <w:r w:rsidDel="00000000" w:rsidR="00000000" w:rsidRPr="00000000">
        <w:rPr>
          <w:color w:val="2aaa9e"/>
          <w:sz w:val="22"/>
          <w:szCs w:val="22"/>
          <w:rtl w:val="0"/>
        </w:rPr>
        <w:t xml:space="preserve">Performance team and rehearsals for shows</w:t>
      </w:r>
    </w:p>
    <w:p w:rsidR="00000000" w:rsidDel="00000000" w:rsidP="00000000" w:rsidRDefault="00000000" w:rsidRPr="00000000" w14:paraId="0000002F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d3mu78myjqmz" w:id="1"/>
      <w:bookmarkEnd w:id="1"/>
      <w:r w:rsidDel="00000000" w:rsidR="00000000" w:rsidRPr="00000000">
        <w:rPr>
          <w:color w:val="2aaa9e"/>
          <w:sz w:val="22"/>
          <w:szCs w:val="22"/>
          <w:rtl w:val="0"/>
        </w:rPr>
        <w:t xml:space="preserve">Collaborations with other UCL and non-UCL societies</w:t>
      </w:r>
    </w:p>
    <w:p w:rsidR="00000000" w:rsidDel="00000000" w:rsidP="00000000" w:rsidRDefault="00000000" w:rsidRPr="00000000" w14:paraId="00000030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ha9kmzvv1ut5" w:id="2"/>
      <w:bookmarkEnd w:id="2"/>
      <w:r w:rsidDel="00000000" w:rsidR="00000000" w:rsidRPr="00000000">
        <w:rPr>
          <w:color w:val="2aaa9e"/>
          <w:sz w:val="22"/>
          <w:szCs w:val="22"/>
          <w:rtl w:val="0"/>
        </w:rPr>
        <w:t xml:space="preserve">Milongas</w:t>
      </w:r>
    </w:p>
    <w:p w:rsidR="00000000" w:rsidDel="00000000" w:rsidP="00000000" w:rsidRDefault="00000000" w:rsidRPr="00000000" w14:paraId="00000031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6hlxlwrzq7nz" w:id="3"/>
      <w:bookmarkEnd w:id="3"/>
      <w:r w:rsidDel="00000000" w:rsidR="00000000" w:rsidRPr="00000000">
        <w:rPr>
          <w:color w:val="2aaa9e"/>
          <w:sz w:val="22"/>
          <w:szCs w:val="22"/>
          <w:rtl w:val="0"/>
        </w:rPr>
        <w:t xml:space="preserve">Volunteering to teach dance to other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s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35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Argentine Tango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36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Elfin Durmus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Elfin Durmus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11/06/2023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John Wu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John Wu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22/06/23</w:t>
            </w:r>
          </w:p>
        </w:tc>
      </w:tr>
    </w:tbl>
    <w:p w:rsidR="00000000" w:rsidDel="00000000" w:rsidP="00000000" w:rsidRDefault="00000000" w:rsidRPr="00000000" w14:paraId="00000043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31645" cy="4762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31645" cy="4762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64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12700</wp:posOffset>
              </wp:positionV>
              <wp:extent cx="1731645" cy="36131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12700</wp:posOffset>
              </wp:positionV>
              <wp:extent cx="1731645" cy="36131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645" cy="361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-63499</wp:posOffset>
              </wp:positionV>
              <wp:extent cx="0" cy="127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-63499</wp:posOffset>
              </wp:positionV>
              <wp:extent cx="0" cy="1270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/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aliases w:val="Union Standard"/>
    <w:next w:val="Title"/>
    <w:qFormat w:val="1"/>
    <w:rsid w:val="004F215B"/>
    <w:rPr>
      <w:rFonts w:ascii="FreightSans Pro Book" w:cs="Arial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16779F"/>
    <w:pPr>
      <w:keepNext w:val="1"/>
      <w:spacing w:after="60" w:before="240"/>
      <w:outlineLvl w:val="0"/>
    </w:pPr>
    <w:rPr>
      <w:rFonts w:ascii="FreightSans Pro Bold" w:hAnsi="FreightSans Pro Bold"/>
      <w:b w:val="1"/>
      <w:bCs w:val="1"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 w:val="1"/>
    <w:rsid w:val="0016779F"/>
    <w:pPr>
      <w:spacing w:after="100" w:afterAutospacing="1" w:before="100" w:beforeAutospacing="1"/>
      <w:outlineLvl w:val="1"/>
    </w:pPr>
    <w:rPr>
      <w:rFonts w:cs="Times New Roman"/>
      <w:bCs w:val="1"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16779F"/>
    <w:pPr>
      <w:numPr>
        <w:numId w:val="26"/>
      </w:numPr>
      <w:outlineLvl w:val="2"/>
    </w:pPr>
    <w:rPr>
      <w:rFonts w:ascii="FreightSans Pro Bold" w:hAnsi="FreightSans Pro Bold"/>
      <w:b w:val="1"/>
      <w:bCs w:val="1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 w:val="1"/>
    <w:qFormat w:val="1"/>
    <w:rsid w:val="004F215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61932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4F215B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41021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4F215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41021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4F215B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A26578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color="f7a28c" w:space="0" w:sz="2" w:themeColor="accent2" w:themeTint="000099" w:val="single"/>
        <w:bottom w:color="f7a28c" w:space="0" w:sz="2" w:themeColor="accent2" w:themeTint="000099" w:val="single"/>
        <w:insideH w:color="f7a28c" w:space="0" w:sz="2" w:themeColor="accent2" w:themeTint="000099" w:val="single"/>
        <w:insideV w:color="f7a28c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7a28c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7a28c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color="f7a28c" w:space="0" w:sz="4" w:themeColor="accent2" w:themeTint="000099" w:val="single"/>
        <w:left w:color="f7a28c" w:space="0" w:sz="4" w:themeColor="accent2" w:themeTint="000099" w:val="single"/>
        <w:bottom w:color="f7a28c" w:space="0" w:sz="4" w:themeColor="accent2" w:themeTint="000099" w:val="single"/>
        <w:right w:color="f7a28c" w:space="0" w:sz="4" w:themeColor="accent2" w:themeTint="000099" w:val="single"/>
        <w:insideH w:color="f7a28c" w:space="0" w:sz="4" w:themeColor="accent2" w:themeTint="000099" w:val="single"/>
        <w:insideV w:color="f7a28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26641" w:space="0" w:sz="4" w:themeColor="accent2" w:val="single"/>
          <w:left w:color="f26641" w:space="0" w:sz="4" w:themeColor="accent2" w:val="single"/>
          <w:bottom w:color="f26641" w:space="0" w:sz="4" w:themeColor="accent2" w:val="single"/>
          <w:right w:color="f26641" w:space="0" w:sz="4" w:themeColor="accent2" w:val="single"/>
          <w:insideH w:space="0" w:sz="0" w:val="nil"/>
          <w:insideV w:space="0" w:sz="0" w:val="nil"/>
        </w:tcBorders>
        <w:shd w:color="auto" w:fill="f26641" w:themeFill="accent2" w:val="clear"/>
      </w:tcPr>
    </w:tblStylePr>
    <w:tblStylePr w:type="lastRow">
      <w:rPr>
        <w:b w:val="1"/>
        <w:bCs w:val="1"/>
      </w:rPr>
      <w:tblPr/>
      <w:tcPr>
        <w:tcBorders>
          <w:top w:color="f2664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9541D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16779F"/>
    <w:rPr>
      <w:rFonts w:ascii="FreightSans Pro Bold" w:cs="Arial" w:hAnsi="FreightSans Pro Bold"/>
      <w:b w:val="1"/>
      <w:bCs w:val="1"/>
      <w:color w:val="f26641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6779F"/>
    <w:rPr>
      <w:rFonts w:ascii="FreightSans Pro Book" w:hAnsi="FreightSans Pro Book"/>
      <w:bCs w:val="1"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 w:val="1"/>
    <w:rsid w:val="009541D5"/>
    <w:rPr>
      <w:b w:val="1"/>
      <w:bCs w:val="1"/>
    </w:rPr>
  </w:style>
  <w:style w:type="character" w:styleId="Emphasis">
    <w:name w:val="Emphasis"/>
    <w:uiPriority w:val="20"/>
    <w:qFormat w:val="1"/>
    <w:rsid w:val="009541D5"/>
    <w:rPr>
      <w:i w:val="1"/>
      <w:iCs w:val="1"/>
    </w:rPr>
  </w:style>
  <w:style w:type="table" w:styleId="TableGrid1" w:customStyle="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1B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1B21"/>
    <w:rPr>
      <w:rFonts w:ascii="Segoe UI" w:cs="Segoe UI" w:hAnsi="Segoe UI"/>
      <w:sz w:val="18"/>
      <w:szCs w:val="18"/>
    </w:rPr>
  </w:style>
  <w:style w:type="paragraph" w:styleId="p1" w:customStyle="1">
    <w:name w:val="p1"/>
    <w:basedOn w:val="Normal"/>
    <w:rsid w:val="00D2375B"/>
    <w:pPr>
      <w:spacing w:line="180" w:lineRule="atLeast"/>
      <w:ind w:left="170" w:hanging="170"/>
    </w:pPr>
    <w:rPr>
      <w:rFonts w:ascii="FreightSans Pro" w:cs="Times New Roman" w:hAnsi="FreightSans Pro"/>
      <w:sz w:val="21"/>
      <w:szCs w:val="21"/>
      <w:lang w:eastAsia="en-GB"/>
    </w:rPr>
  </w:style>
  <w:style w:type="character" w:styleId="apple-converted-space" w:customStyle="1">
    <w:name w:val="apple-converted-space"/>
    <w:basedOn w:val="DefaultParagraphFont"/>
    <w:rsid w:val="006205E7"/>
  </w:style>
  <w:style w:type="paragraph" w:styleId="Style1" w:customStyle="1">
    <w:name w:val="Style1"/>
    <w:basedOn w:val="Normal"/>
    <w:qFormat w:val="1"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 w:val="1"/>
    <w:rsid w:val="004F215B"/>
    <w:pPr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F215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 w:val="1"/>
    <w:rsid w:val="004F215B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4F215B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 w:val="1"/>
    <w:rsid w:val="004F215B"/>
    <w:rPr>
      <w:i w:val="1"/>
      <w:iCs w:val="1"/>
      <w:color w:val="404040" w:themeColor="text1" w:themeTint="0000BF"/>
    </w:rPr>
  </w:style>
  <w:style w:type="character" w:styleId="Heading3Char" w:customStyle="1">
    <w:name w:val="Heading 3 Char"/>
    <w:basedOn w:val="DefaultParagraphFont"/>
    <w:link w:val="Heading3"/>
    <w:rsid w:val="0016779F"/>
    <w:rPr>
      <w:rFonts w:ascii="FreightSans Pro Bold" w:cs="Arial" w:hAnsi="FreightSans Pro Bold"/>
      <w:b w:val="1"/>
      <w:bCs w:val="1"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rsid w:val="0016779F"/>
    <w:rPr>
      <w:rFonts w:ascii="FreightSans Pro Book" w:cs="Arial" w:hAnsi="FreightSans Pro Book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rsid w:val="004F215B"/>
    <w:rPr>
      <w:rFonts w:asciiTheme="majorHAnsi" w:cstheme="majorBidi" w:eastAsiaTheme="majorEastAsia" w:hAnsiTheme="majorHAnsi"/>
      <w:color w:val="061932" w:themeColor="accent1" w:themeShade="0000BF"/>
      <w:sz w:val="26"/>
      <w:szCs w:val="24"/>
    </w:rPr>
  </w:style>
  <w:style w:type="character" w:styleId="Heading6Char" w:customStyle="1">
    <w:name w:val="Heading 6 Char"/>
    <w:basedOn w:val="DefaultParagraphFont"/>
    <w:link w:val="Heading6"/>
    <w:rsid w:val="004F215B"/>
    <w:rPr>
      <w:rFonts w:asciiTheme="majorHAnsi" w:cstheme="majorBidi" w:eastAsiaTheme="majorEastAsia" w:hAnsiTheme="majorHAnsi"/>
      <w:color w:val="041021" w:themeColor="accent1" w:themeShade="00007F"/>
      <w:sz w:val="26"/>
      <w:szCs w:val="24"/>
    </w:rPr>
  </w:style>
  <w:style w:type="character" w:styleId="Heading7Char" w:customStyle="1">
    <w:name w:val="Heading 7 Char"/>
    <w:basedOn w:val="DefaultParagraphFont"/>
    <w:link w:val="Heading7"/>
    <w:rsid w:val="004F215B"/>
    <w:rPr>
      <w:rFonts w:asciiTheme="majorHAnsi" w:cstheme="majorBidi" w:eastAsiaTheme="majorEastAsia" w:hAnsiTheme="majorHAnsi"/>
      <w:i w:val="1"/>
      <w:iCs w:val="1"/>
      <w:color w:val="041021" w:themeColor="accent1" w:themeShade="00007F"/>
      <w:sz w:val="26"/>
      <w:szCs w:val="24"/>
    </w:rPr>
  </w:style>
  <w:style w:type="character" w:styleId="Heading8Char" w:customStyle="1">
    <w:name w:val="Heading 8 Char"/>
    <w:basedOn w:val="DefaultParagraphFont"/>
    <w:link w:val="Heading8"/>
    <w:rsid w:val="004F215B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 w:val="1"/>
    <w:rsid w:val="00A2657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6r9/PftQhT72MkqiYJyMrCvYA==">CgMxLjAyDmguZ2lnNnVzNWMyZmhvMg5oLmQzbXU3OG15anFtejIOaC5oYTlrbXp2djF1dDUyDmguNmhseGx3cnpxN256OAByITFMdjBTVU41VF9XaG1IVmN4LXJ5bGNIX3luWXY1SW9hQQ==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2022-06-10T14:35:00Z</dcterms:created>
  <dc:creator>Thomas Flynn</dc:creator>
</cp:coreProperties>
</file>